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d4217d8fa948e5"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14162</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IV. O.Š. VARAŽDIN</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1.014.433,84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1.141.061,70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974.843,01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1.192.089,09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51.027,39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1.948,99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30.904,47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1.948,99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30.904,47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1585,7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81.931,86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 tekućem razdoblju ostvaren je manjak prihoda i primitaka u iznosu od 81.931,86 eura. Najveći razlog manjka prihoda i primitaka u odnosu na isto izvještajno razdoblje prethodne godine, kada je ostvaren višak prihoda i primitaka u iznosu od 37.641,84 eura, jeste taj što je u prvoj polovici 2025. godine iskazan sedmi rashod za plaće iz MZOM-a odnosno plaća za 6. mjesec 2025. godine, dok su se prethodne godine isti rashodi evidentirali na računu rashodi budućih razdoblja i nedospjela naplata prihoda. Prema novom Pravilniku o proračunskom računovodstvu i računskom planu koji se primjenjuje od 1.1.2025. godine, rashodi za plaću za 3., 6., 9. i 12. mjesec ne evidentiraju se na računu rashoda budućih razdoblja, već se ukidaju te se navedeno evidentira na rashodima za plaće. Kada bi sedmi rashod za plaće iz MZOM-a u iznosu od 132.497,75 eura i sada bio evidentiran na rashodima budućih razdoblja,  bio bi prikazan višak prihoda i primitaka kao i u istom izvještajnom razdoblju prethodne godine.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od institucija i tijela EU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6.011,20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Evidentirane su tekuće pomoći od institucija i tijela EU na poziciji u iznosu od 6.011,20 eura. To je prihod od institucija EU za Erasmus projekt The WELL. Primljena su sredstva po ZNS-u te su shodno tome evidentirana na odgovarajuću poziciju. U prethodnoj godini prihod je bio evidentiran na skupini računa 6381.</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Kamate na oročena sredstva i depozite po viđenju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288,7</w:t>
            </w:r>
          </w:p>
        </w:tc>
      </w:tr>
    </w:tbl>
    <w:p>
      <w:pPr>
        <w:spacing w:before="0" w:after="0"/>
      </w:pPr>
    </w:p>
    <w:p>
      <w:pPr>
        <w:jc w:val="both"/>
        <w:pStyle w:val="Normal"/>
        <w:spacing w:line="240" w:lineRule="auto"/>
      </w:pPr>
      <w:r>
        <w:rPr>
          <w:sz w:val="24"/>
          <w:rFonts w:ascii="Times New Roman" w:hAnsi="Times New Roman"/>
        </w:rPr>
        <w:t>Iznos se odnosi na kamate na neutrošena vlastita sredstva. Iznos je veći  za 2,9 puta zbog većih depozita na računu u odnosu na isto izvještajno razdoblje prethodne godine te je shodno tome prihodovano više kamata po računu. Do većih kamata na računu došlo je zbog nastalih prihoda za produženi boravak i ručkove.</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5.406,50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4.817,93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89,1</w:t>
            </w:r>
          </w:p>
        </w:tc>
      </w:tr>
    </w:tbl>
    <w:p>
      <w:pPr>
        <w:spacing w:before="0" w:after="0"/>
      </w:pPr>
    </w:p>
    <w:p>
      <w:pPr>
        <w:jc w:val="both"/>
        <w:pStyle w:val="Normal"/>
        <w:spacing w:line="240" w:lineRule="auto"/>
      </w:pPr>
      <w:r>
        <w:rPr>
          <w:sz w:val="24"/>
          <w:rFonts w:ascii="Times New Roman" w:hAnsi="Times New Roman"/>
        </w:rPr>
        <w:t>Prihodi od pruženih usluga odnosno od najma sportske dvorane smanjili su se za 10,9 % u odnosu na isto izvještajno razdoblje prethodne godine, a razlog je taj što je u izvještajnom razdoblju prethodne godine naplaćeno više prihoda za najam dvorane, a u 2025. godini je manji obujam najma školske dvorane (na natječaj se javilo manje najmoprimaca u odnosu na prethodnu godinu).</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141.185,50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187.473,97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132,8</w:t>
            </w:r>
          </w:p>
        </w:tc>
      </w:tr>
    </w:tbl>
    <w:p>
      <w:pPr>
        <w:spacing w:before="0" w:after="0"/>
      </w:pPr>
    </w:p>
    <w:p>
      <w:pPr>
        <w:jc w:val="both"/>
        <w:pStyle w:val="Normal"/>
        <w:spacing w:line="240" w:lineRule="auto"/>
      </w:pPr>
      <w:r>
        <w:rPr>
          <w:sz w:val="24"/>
          <w:rFonts w:ascii="Times New Roman" w:hAnsi="Times New Roman"/>
        </w:rPr>
        <w:t>Prihodi iz nadležnog proračuna za financiranje rashoda poslovanja veći su za 32,8 % u odnosu na isto izvještajno razdoblje prethodne godine. Razlog tome je što je u početku 2025. godine plaćeno više računa za 2024. godinu nego što je to bio slučaj prethodne godine. Također, povećale su se plaće za produženi boravak i pomoćnike u nastavi zbog povećanja osnovica te zbog dodatnih zapošljavanja, pa je zbog navedenog prihod iz nadležnog proračuna za plaće u 2025. godini veći u odnosu na godinu prije.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za nabavu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10.678,48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43.322,79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405,7</w:t>
            </w:r>
          </w:p>
        </w:tc>
      </w:tr>
    </w:tbl>
    <w:p>
      <w:pPr>
        <w:spacing w:before="0" w:after="0"/>
      </w:pPr>
    </w:p>
    <w:p>
      <w:pPr>
        <w:jc w:val="both"/>
        <w:pStyle w:val="Normal"/>
        <w:spacing w:line="240" w:lineRule="auto"/>
      </w:pPr>
      <w:r>
        <w:rPr>
          <w:sz w:val="24"/>
          <w:rFonts w:ascii="Times New Roman" w:hAnsi="Times New Roman"/>
        </w:rPr>
        <w:t>Na ovoj poziciji iskazani su veći prihodi u odnosu na isto izvještajno razdoblje prethodne godine za 4,06 puta zbog rashoda na nefinancijskoj imovini nastalih u 2024. godini, dok su računi plaćeni početkom 2025. godini te su i prihodi priznati u 2025. godini. Također, škola je imala više nabave nefinancijske imovine u 2025. godini u odnosu na prethodnu godinu (nova ulazna PVC vrata, kvake i brave te hidraulični zatvarači za vrata i elektro-prihvatnici,  sustav video interfona,  nabavljen je novi PC uređaj i monitor za knjižnicu, 2 nova laptopa, vanjske žaluzine te oprema za školsku kuhinju).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623.229,84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822.898,01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132,0</w:t>
            </w:r>
          </w:p>
        </w:tc>
      </w:tr>
    </w:tbl>
    <w:p>
      <w:pPr>
        <w:spacing w:before="0" w:after="0"/>
      </w:pPr>
    </w:p>
    <w:p>
      <w:pPr>
        <w:jc w:val="both"/>
        <w:pStyle w:val="Normal"/>
        <w:spacing w:line="240" w:lineRule="auto"/>
      </w:pPr>
      <w:r>
        <w:rPr>
          <w:sz w:val="24"/>
          <w:rFonts w:ascii="Times New Roman" w:hAnsi="Times New Roman"/>
        </w:rPr>
        <w:t>Rashod za redovan rad veći je za 32,0 % u odnosu na isto izvještajno razdoblje prethodne godine zbog povećanja osnovice plaće u 2025. godini prema Odluci o visini osnovice za obračun plaće u javnim službama u 2025. godini te zbog ukinutih kontinuiranih rashoda u 2025. godini za 3.,6.,9. i 12. mjesec, što je uređeno novim Pravilnikom o proračunskom računovodstvu i Računskom planu koji je stupio na snagu 1. siječnja 2025. godine.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prekovremeni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38.845,51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26.433,23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68,0</w:t>
            </w:r>
          </w:p>
        </w:tc>
      </w:tr>
    </w:tbl>
    <w:p>
      <w:pPr>
        <w:spacing w:before="0" w:after="0"/>
      </w:pPr>
    </w:p>
    <w:p>
      <w:pPr>
        <w:jc w:val="both"/>
        <w:pStyle w:val="Normal"/>
        <w:spacing w:line="240" w:lineRule="auto"/>
      </w:pPr>
      <w:r>
        <w:rPr>
          <w:sz w:val="24"/>
          <w:rFonts w:ascii="Times New Roman" w:hAnsi="Times New Roman"/>
        </w:rPr>
        <w:t>Prekovremeni rad smanjen je za 32,0 % zbog manjih sati prekovremenog rada po zaduženju nastavnika u odnosu na isto izvještajno razdoblje prethodne godine. Od školske godine 2024./2025. smanjio se broj sati prekovremenog rada prema novim zaduženjima, stoga je i ostvarenje navedenog rashoda manje.</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posebne uvjete rada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2.773,53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3.670,64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132,3</w:t>
            </w:r>
          </w:p>
        </w:tc>
      </w:tr>
    </w:tbl>
    <w:p>
      <w:pPr>
        <w:spacing w:before="0" w:after="0"/>
      </w:pPr>
    </w:p>
    <w:p>
      <w:pPr>
        <w:jc w:val="both"/>
        <w:pStyle w:val="Normal"/>
        <w:spacing w:line="240" w:lineRule="auto"/>
      </w:pPr>
      <w:r>
        <w:rPr>
          <w:sz w:val="24"/>
          <w:rFonts w:ascii="Times New Roman" w:hAnsi="Times New Roman"/>
        </w:rPr>
        <w:t>Plaće za posebne uvjete rada veće su za 32,3 % u odnosu na isto izvještajno razdoblje prethodne godine zbog ukinutih kontinuiranih rashoda u 2025. godini, stoga je prikazan rashod za posebne uvjete rada u 6. mjesecu, što prethodne godine nije bilo iskazano. Također je  u 2025. godini došlo i do većeg broja sati rada po prilagođenom programu s učenicima, najviše u razrednoj nastavi, što se iskazuje na navedenom računu iz računskog plana.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rashodi za zaposlene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31.640,46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26.753,60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84,6</w:t>
            </w:r>
          </w:p>
        </w:tc>
      </w:tr>
    </w:tbl>
    <w:p>
      <w:pPr>
        <w:spacing w:before="0" w:after="0"/>
      </w:pPr>
    </w:p>
    <w:p>
      <w:pPr>
        <w:jc w:val="both"/>
        <w:pStyle w:val="Normal"/>
        <w:spacing w:line="240" w:lineRule="auto"/>
      </w:pPr>
      <w:r>
        <w:rPr>
          <w:sz w:val="24"/>
          <w:rFonts w:ascii="Times New Roman" w:hAnsi="Times New Roman"/>
        </w:rPr>
        <w:t>Ostali rashodi za zaposlene smanjeni su za 15,4 % u odnosu na isto izvještajno razdoblje prethodne godine zbog manjeg obujma obračuna materijalnih prava u 2025. godini. U izvještajnom razdoblju prethodne godine isplatile su se naknade po Erasmus projektu kao nagrade zaposlenicima te je navedeno razlog većeg ostvarenja u prethodnoj godini.</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za obvezno zdravstveno osiguranje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108.510,91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138.549,43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127,7</w:t>
            </w:r>
          </w:p>
        </w:tc>
      </w:tr>
    </w:tbl>
    <w:p>
      <w:pPr>
        <w:spacing w:before="0" w:after="0"/>
      </w:pPr>
    </w:p>
    <w:p>
      <w:pPr>
        <w:jc w:val="both"/>
        <w:pStyle w:val="Normal"/>
        <w:spacing w:line="240" w:lineRule="auto"/>
      </w:pPr>
      <w:r>
        <w:rPr>
          <w:sz w:val="24"/>
          <w:rFonts w:ascii="Times New Roman" w:hAnsi="Times New Roman"/>
        </w:rPr>
        <w:t>Doprinosi za zdravstveno osiguranje veći su za 27,7 % u odnosu na isto izvještajno razdoblje prethodne godine zbog povećanja osnovice plaće prema Odluci o visini osnovice za obračun plaće u javnim službama u 2025. godini, a također i zbog ukinutih kontinuiranih rashoda u 2025. godini, stoga je prikazan sedmi rashod odnosno rashod za 6. mjesec 2025. godine.</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12.527,37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5.254,99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41,9</w:t>
            </w:r>
          </w:p>
        </w:tc>
      </w:tr>
    </w:tbl>
    <w:p>
      <w:pPr>
        <w:spacing w:before="0" w:after="0"/>
      </w:pPr>
    </w:p>
    <w:p>
      <w:pPr>
        <w:jc w:val="both"/>
        <w:pStyle w:val="Normal"/>
        <w:spacing w:line="240" w:lineRule="auto"/>
      </w:pPr>
      <w:r>
        <w:rPr>
          <w:sz w:val="24"/>
          <w:rFonts w:ascii="Times New Roman" w:hAnsi="Times New Roman"/>
        </w:rPr>
        <w:t>Rashodi za službena putovanja su manja za 58,1 % u odnosu na isto izvještajno razdoblje prethodne godine koji uključuju službena putovanja zaposlenih na razna usavršavanja i po Erasmus projektu, a najvećim djelom smanjenje se odnosi na Erasmus projekt. Djelatnici škole u 2025. godini nisu putovali prema Erasmus projektu te shodno tome nisu isplaćivane dnevnice, smještaj i prijevoz, što je bio slučaj u 2024.godini.</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Stručno usavršavanje zaposlenika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214,8</w:t>
            </w:r>
          </w:p>
        </w:tc>
      </w:tr>
    </w:tbl>
    <w:p>
      <w:pPr>
        <w:spacing w:before="0" w:after="0"/>
      </w:pPr>
    </w:p>
    <w:p>
      <w:pPr>
        <w:jc w:val="both"/>
        <w:pStyle w:val="Normal"/>
        <w:spacing w:line="240" w:lineRule="auto"/>
      </w:pPr>
      <w:r>
        <w:rPr>
          <w:sz w:val="24"/>
          <w:rFonts w:ascii="Times New Roman" w:hAnsi="Times New Roman"/>
        </w:rPr>
        <w:t>Stručna usavršavanja zaposlenika veća su za 2,15 puta u odnosu na isto izvještajno razdoblje prethodne godine. U 2024. godini nije bilo stručnih usavršavanja djelatnika, dok je u 2025. godini bio povećani broj seminara i stručnih usavršavanja zaposlenika, a prema financijskom planu planiranom u listopadu 2024. godine i prema I. i II. izmjenama i dopunama financijskog plana u 2025. godini.</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Uredski materijal i ostali materijalni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6.376,83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10.810,33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169,5</w:t>
            </w:r>
          </w:p>
        </w:tc>
      </w:tr>
    </w:tbl>
    <w:p>
      <w:pPr>
        <w:spacing w:before="0" w:after="0"/>
      </w:pPr>
    </w:p>
    <w:p>
      <w:pPr>
        <w:jc w:val="both"/>
        <w:pStyle w:val="Normal"/>
        <w:spacing w:line="240" w:lineRule="auto"/>
      </w:pPr>
      <w:r>
        <w:rPr>
          <w:sz w:val="24"/>
          <w:rFonts w:ascii="Times New Roman" w:hAnsi="Times New Roman"/>
        </w:rPr>
        <w:t>Rashodi za uredski materijal veći su za 69,5 % u odnosu na isto izvještajno razdoblje prethodne godine zbog potrebe materijala za nastavu i uredskog materijala za rad, materijala i sredstva za čišćenje, higijenskog materijala, a materijal se nabavljao od dobavljača koji su specijalizirani za ovu vrstu robe i s kojima škola ima ugovore. Također su se nabavljala i sredstva za generalno čišćenje škole koje će se odvijati u vrijeme ljetnih praznika. Nabavljalo se i više sredstava za čišćenje i održavanje za školsku kuhinju zbog kuhanja ručkova umjesto cateringa  kako je bilo prethodnih godina. Sve nabavljeno je u skladu s planiranim sredstvima.
</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Energija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21.114,28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18.601,00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88,1</w:t>
            </w:r>
          </w:p>
        </w:tc>
      </w:tr>
    </w:tbl>
    <w:p>
      <w:pPr>
        <w:spacing w:before="0" w:after="0"/>
      </w:pPr>
    </w:p>
    <w:p>
      <w:pPr>
        <w:jc w:val="both"/>
        <w:pStyle w:val="Normal"/>
        <w:spacing w:line="240" w:lineRule="auto"/>
      </w:pPr>
      <w:r>
        <w:rPr>
          <w:sz w:val="24"/>
          <w:rFonts w:ascii="Times New Roman" w:hAnsi="Times New Roman"/>
        </w:rPr>
        <w:t>Energija je smanjena za 11,9 % u odnosu na isto izvještajno razdoblje prethodne godine zbog postavljenih solarnih elektrana na zgradu škole, što je dovelo do manje potrošnje električne energije, a shodno time i manjeg iznosa računa za električnu energiju, a za lipanj 2025. godine škola je u pretplati te nije zaprimljen račun za električnu energiju već odobrenje po kojem će se platiti manje električne energije u sljedećim mjesecima. Također je i manja je cijena plina u 2025. godini do svibnja u odnosu na isto izvještajno razdoblje prethodne godine.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 i dijelovi za tekuće i investicijsko održavanje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1.312,61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2.451,20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186,7</w:t>
            </w:r>
          </w:p>
        </w:tc>
      </w:tr>
    </w:tbl>
    <w:p>
      <w:pPr>
        <w:spacing w:before="0" w:after="0"/>
      </w:pPr>
    </w:p>
    <w:p>
      <w:pPr>
        <w:jc w:val="both"/>
        <w:pStyle w:val="Normal"/>
        <w:spacing w:line="240" w:lineRule="auto"/>
      </w:pPr>
      <w:r>
        <w:rPr>
          <w:sz w:val="24"/>
          <w:rFonts w:ascii="Times New Roman" w:hAnsi="Times New Roman"/>
        </w:rPr>
        <w:t>Rashodi za materijal i dijelove povećani su za  86,7 % u odnosu na isto izvještajno razdoblje prošle godine zbog povećane potrebe za materijalom i dijelovima za tekuće i investicijsko održavanje. Nabavljeni su razni informatički materijali, materijali za popravke, novi otirači za ulaze.</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Sitni inventar i autogume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282,70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1.863,06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659,0</w:t>
            </w:r>
          </w:p>
        </w:tc>
      </w:tr>
    </w:tbl>
    <w:p>
      <w:pPr>
        <w:spacing w:before="0" w:after="0"/>
      </w:pPr>
    </w:p>
    <w:p>
      <w:pPr>
        <w:jc w:val="both"/>
        <w:pStyle w:val="Normal"/>
        <w:spacing w:line="240" w:lineRule="auto"/>
      </w:pPr>
      <w:r>
        <w:rPr>
          <w:sz w:val="24"/>
          <w:rFonts w:ascii="Times New Roman" w:hAnsi="Times New Roman"/>
        </w:rPr>
        <w:t>Povećanje rashoda na ovoj poziciji za 65,9 puta u odnosu na isto izvještajno razdoblje prethodne godine rezultat je većih potreba za istim odnosno prethodne godine potrošeno je samo 282,70 eura, dok je u 2025. godini potrošeno 1.863,06 eura. Najviše se nabavljao sitni inventar za školsku kuhinju. Osim sitnog inventara za školsku kuhinju, nabavljao se sitni inventar za potrebe nastave i za školu, zvučnici za strane jezike te vreće za sjedenje u holu škole.
</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4.335,77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5.644,27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130,2</w:t>
            </w:r>
          </w:p>
        </w:tc>
      </w:tr>
    </w:tbl>
    <w:p>
      <w:pPr>
        <w:spacing w:before="0" w:after="0"/>
      </w:pPr>
    </w:p>
    <w:p>
      <w:pPr>
        <w:jc w:val="both"/>
        <w:pStyle w:val="Normal"/>
        <w:spacing w:line="240" w:lineRule="auto"/>
      </w:pPr>
      <w:r>
        <w:rPr>
          <w:sz w:val="24"/>
          <w:rFonts w:ascii="Times New Roman" w:hAnsi="Times New Roman"/>
        </w:rPr>
        <w:t>Povećani su rashodi za 30,2 % zbog veće cijene prijevoza učenika u školi i iz škole za 1.-6. mjesec 2025. godine u odnosu na isto izvještajno razdoblje prethodne godine.</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8.784,48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18.095,82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206,0</w:t>
            </w:r>
          </w:p>
        </w:tc>
      </w:tr>
    </w:tbl>
    <w:p>
      <w:pPr>
        <w:spacing w:before="0" w:after="0"/>
      </w:pPr>
    </w:p>
    <w:p>
      <w:pPr>
        <w:jc w:val="both"/>
        <w:pStyle w:val="Normal"/>
        <w:spacing w:line="240" w:lineRule="auto"/>
      </w:pPr>
      <w:r>
        <w:rPr>
          <w:sz w:val="24"/>
          <w:rFonts w:ascii="Times New Roman" w:hAnsi="Times New Roman"/>
        </w:rPr>
        <w:t>Povećanje na uslugama za 106,0 % u odnosu na isto izvještajno razdoblje prethodne godine uslijedilo je zbog vodoinstalaterskih radova u čajnoj kuhinji kako bi se ista osposobila, zbog izrade procjene postojećeg stanja objekta i analize rizika te izrade plana sigurnosti škole, zbog sanacije zidova u čajnoj kuhinji, blagovaoni, učionici u holu te zbog ispitivanja sigurnosnog ventila u kotlovnici, a sve prema financijskom planu škole. Više usluga izvršeno je u prvom polugodištu 2025. godine u odnosu na isto izvještajno razdoblje prethodne godine.</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Zakupnine i najamnine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1.380,67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1.651,31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119,6</w:t>
            </w:r>
          </w:p>
        </w:tc>
      </w:tr>
    </w:tbl>
    <w:p>
      <w:pPr>
        <w:spacing w:before="0" w:after="0"/>
      </w:pPr>
    </w:p>
    <w:p>
      <w:pPr>
        <w:jc w:val="both"/>
        <w:pStyle w:val="Normal"/>
        <w:spacing w:line="240" w:lineRule="auto"/>
      </w:pPr>
      <w:r>
        <w:rPr>
          <w:sz w:val="24"/>
          <w:rFonts w:ascii="Times New Roman" w:hAnsi="Times New Roman"/>
        </w:rPr>
        <w:t>Rashodi za zakupnine i najamnine veće su za 19,6 % u odnosu na isto izvještajno razdoblje prethodne godine zbog ugovorene najamnine aparata za vodu za školu, što je dovelo do povećanja rashoda.</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383,89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303,76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79,1</w:t>
            </w:r>
          </w:p>
        </w:tc>
      </w:tr>
    </w:tbl>
    <w:p>
      <w:pPr>
        <w:spacing w:before="0" w:after="0"/>
      </w:pPr>
    </w:p>
    <w:p>
      <w:pPr>
        <w:jc w:val="both"/>
        <w:pStyle w:val="Normal"/>
        <w:spacing w:line="240" w:lineRule="auto"/>
      </w:pPr>
      <w:r>
        <w:rPr>
          <w:sz w:val="24"/>
          <w:rFonts w:ascii="Times New Roman" w:hAnsi="Times New Roman"/>
        </w:rPr>
        <w:t>Smanjeni su rashodi u odnosu na isto izvještajno razdoblje prethodne godine za 20,9 % zbog toga jer u 2025. godini nije bilo potrebe za slanjem djelatnika na pregled zbog povećanog rizika od pada te pregled djelatnika izloženim opasnostima od požara i eksplozije.</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Računalne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788,40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1.128,10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143,1</w:t>
            </w:r>
          </w:p>
        </w:tc>
      </w:tr>
    </w:tbl>
    <w:p>
      <w:pPr>
        <w:spacing w:before="0" w:after="0"/>
      </w:pPr>
    </w:p>
    <w:p>
      <w:pPr>
        <w:jc w:val="both"/>
        <w:pStyle w:val="Normal"/>
        <w:spacing w:line="240" w:lineRule="auto"/>
      </w:pPr>
      <w:r>
        <w:rPr>
          <w:sz w:val="24"/>
          <w:rFonts w:ascii="Times New Roman" w:hAnsi="Times New Roman"/>
        </w:rPr>
        <w:t>Rashodi za računalne usluge su u odnosu na isto izvještajno razdoblje prethodne godine povećani su za 43,1 %. Razlog jesu dodatni računi za računalne usluge – usluga prijenosa sitnog inventara sa starog programa, usluga instalacije na novom PC-u uz ostale redovne račune koji se evidentiraju na navedenim rashodima.</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9.318,10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2.473,07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26,5</w:t>
            </w:r>
          </w:p>
        </w:tc>
      </w:tr>
    </w:tbl>
    <w:p>
      <w:pPr>
        <w:spacing w:before="0" w:after="0"/>
      </w:pPr>
    </w:p>
    <w:p>
      <w:pPr>
        <w:jc w:val="both"/>
        <w:pStyle w:val="Normal"/>
        <w:spacing w:line="240" w:lineRule="auto"/>
      </w:pPr>
      <w:r>
        <w:rPr>
          <w:sz w:val="24"/>
          <w:rFonts w:ascii="Times New Roman" w:hAnsi="Times New Roman"/>
        </w:rPr>
        <w:t>Smanjeni su rashodi za ostale usluge u odnosu na prošlu godinu za 73,5 %. Osnovni razlog je što se izleti i predstave za koje su se sakupljali novci i plaćali računi više ne plaćaju preko školske ustanove, već se sve takve usluge većinom ugovaraju direktno preko agencije sa roditeljima učenika te se njima ispostavljaju uplatnice. Također, u odnosu na prethodnu godinu, smanjeni su općenito rashodi za ostale usluge zbog manjih potreba za istima.</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Premije osiguranja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494,97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386,22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78,0</w:t>
            </w:r>
          </w:p>
        </w:tc>
      </w:tr>
    </w:tbl>
    <w:p>
      <w:pPr>
        <w:spacing w:before="0" w:after="0"/>
      </w:pPr>
    </w:p>
    <w:p>
      <w:pPr>
        <w:jc w:val="both"/>
        <w:pStyle w:val="Normal"/>
        <w:spacing w:line="240" w:lineRule="auto"/>
      </w:pPr>
      <w:r>
        <w:rPr>
          <w:sz w:val="24"/>
          <w:rFonts w:ascii="Times New Roman" w:hAnsi="Times New Roman"/>
        </w:rPr>
        <w:t>Rashodi su smanjeni za 22,0 % u odnosu na isto razdoblje prethodne godine zbog ugovorene manje cijene premije osiguranja imovine škole.</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Reprezentacija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286,72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1.224,54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427,1</w:t>
            </w:r>
          </w:p>
        </w:tc>
      </w:tr>
    </w:tbl>
    <w:p>
      <w:pPr>
        <w:spacing w:before="0" w:after="0"/>
      </w:pPr>
    </w:p>
    <w:p>
      <w:pPr>
        <w:jc w:val="both"/>
        <w:pStyle w:val="Normal"/>
        <w:spacing w:line="240" w:lineRule="auto"/>
      </w:pPr>
      <w:r>
        <w:rPr>
          <w:sz w:val="24"/>
          <w:rFonts w:ascii="Times New Roman" w:hAnsi="Times New Roman"/>
        </w:rPr>
        <w:t>Rashodi su povećani za 4,27 puta u odnosu na isto izvještajno razdoblje prethodne godine zbog većih potreba za istim – zbog održavanja manifestacije LIDRANO u školi, zbog povremenih potreba za školski odbor, za skup ravnatelja, te zbog potreba u ožujku 2025. godine zbog dolaska veleposlanika Australije koji je posjetio školu. Rashodi su također veći i zbog usluge cateringa na Dan škole za djelatnike škole i goste umirovljenike koji svaku godinu posjete ustanovu na taj dan.</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386,35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601,86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155,8</w:t>
            </w:r>
          </w:p>
        </w:tc>
      </w:tr>
    </w:tbl>
    <w:p>
      <w:pPr>
        <w:spacing w:before="0" w:after="0"/>
      </w:pPr>
    </w:p>
    <w:p>
      <w:pPr>
        <w:jc w:val="both"/>
        <w:pStyle w:val="Normal"/>
        <w:spacing w:line="240" w:lineRule="auto"/>
      </w:pPr>
      <w:r>
        <w:rPr>
          <w:sz w:val="24"/>
          <w:rFonts w:ascii="Times New Roman" w:hAnsi="Times New Roman"/>
        </w:rPr>
        <w:t>Ostali nespomenuti rashodi poslovanja veći su za 55,8 % u odnosu na isto izvještajno razdoblje prethodne godine. Razlog povećanja zbog zastupanja odvjetnice na ročištu u Zagrebu 7.1.2025. godine, te je naplaćeno zastupanje u iznosu od 300,00 eura, a za toliko je veći iznos ostalih nespomenutih rashoda u odnosu na prethodnu godinu. </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Bankarske usluge i usluge platnog prometa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513,92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398,31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77,5</w:t>
            </w:r>
          </w:p>
        </w:tc>
      </w:tr>
    </w:tbl>
    <w:p>
      <w:pPr>
        <w:spacing w:before="0" w:after="0"/>
      </w:pPr>
    </w:p>
    <w:p>
      <w:pPr>
        <w:jc w:val="both"/>
        <w:pStyle w:val="Normal"/>
        <w:spacing w:line="240" w:lineRule="auto"/>
      </w:pPr>
      <w:r>
        <w:rPr>
          <w:sz w:val="24"/>
          <w:rFonts w:ascii="Times New Roman" w:hAnsi="Times New Roman"/>
        </w:rPr>
        <w:t>Rashodi su smanjeni za 22,5 % u odnosu na isto izvještajno razdoblje prethodne godine zbog manjih iznosa računa od banke za bankarske usluge –  u 2024. godini ugovoren je povoljniji paket u PBZ banci po kojem su računi za bankarske usluge manji u odnosu na prethodnu godinu.</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Zatezne kamate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260,2</w:t>
            </w:r>
          </w:p>
        </w:tc>
      </w:tr>
    </w:tbl>
    <w:p>
      <w:pPr>
        <w:spacing w:before="0" w:after="0"/>
      </w:pPr>
    </w:p>
    <w:p>
      <w:pPr>
        <w:jc w:val="both"/>
        <w:pStyle w:val="Normal"/>
        <w:spacing w:line="240" w:lineRule="auto"/>
      </w:pPr>
      <w:r>
        <w:rPr>
          <w:sz w:val="24"/>
          <w:rFonts w:ascii="Times New Roman" w:hAnsi="Times New Roman"/>
        </w:rPr>
        <w:t>Rashodi su veći za 160,2 % u odnosu na isto izvještajno razdoblje prethodne godine zbog toga jer je obračunata zatezna kamata za 2024. godinu od dobavljača za plin. Iznos kamata je 2,81 euro. Drugih zateznih kamata ustanova nije imala jer su svi računi redovno i na vrijeme plaćeni.</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donacije, kazne, naknade šteta i kapitalne pomoći (šifre 381+382+383+386)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661,5</w:t>
            </w:r>
          </w:p>
        </w:tc>
      </w:tr>
    </w:tbl>
    <w:p>
      <w:pPr>
        <w:spacing w:before="0" w:after="0"/>
      </w:pPr>
    </w:p>
    <w:p>
      <w:pPr>
        <w:jc w:val="both"/>
        <w:pStyle w:val="Normal"/>
        <w:spacing w:line="240" w:lineRule="auto"/>
      </w:pPr>
      <w:r>
        <w:rPr>
          <w:sz w:val="24"/>
          <w:rFonts w:ascii="Times New Roman" w:hAnsi="Times New Roman"/>
        </w:rPr>
        <w:t>Rashodi su veći za 6,62 puta u odnosu na isto izvještajno razdoblje prethodne godine. Razlog tome je što je škola prošle godine platila kaznu nakon pregleda sanitarne inspekcije u školskoj kuhinji, što se saniralo, međutim u 2025. godini evidentiran je rashod za tekuće donacije u naravi. Radi se o rashodu prema zaključku Grada Varaždina o raspodjeli sredstava radi opskrbe besplatnim zalihama menstrualnih higijenskih potrepština. Rashod je ostvaren u prvoj polovici 2025. godine, dok je isti rashod prethodne godine ostvaren u drugoj polovici godine (nakon polugodišnjih financijskih izvještaja).</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6.441,71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143.642,96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2229,9</w:t>
            </w:r>
          </w:p>
        </w:tc>
      </w:tr>
    </w:tbl>
    <w:p>
      <w:pPr>
        <w:spacing w:before="0" w:after="0"/>
      </w:pPr>
    </w:p>
    <w:p>
      <w:pPr>
        <w:jc w:val="both"/>
        <w:pStyle w:val="Normal"/>
        <w:spacing w:line="240" w:lineRule="auto"/>
      </w:pPr>
      <w:r>
        <w:rPr>
          <w:sz w:val="24"/>
          <w:rFonts w:ascii="Times New Roman" w:hAnsi="Times New Roman"/>
        </w:rPr>
        <w:t>Obračunati prihodi poslovanja su veći za 22,29 puta u odnosu na isto izvještajno razdoblje prethodne godine. Razlog povećanja je taj što se od 1.1.2025. godine primjenjuje novi Pravilnik o proračunskom računovodstvu i računskom planu po kojemu proračunski korisnici moraju evidentirati potraživanja i obračunate prihode. Nenaplaćeni obračunati prihodi poslovanja odnose se na nenaplaćene prihode za prehranu učenika i produženi boravak, za najam školske dvorane za 6./2025., za besplatni topli obrok od MZOM-a za 6./2025., za plaću od MZOM-a za 6./2025., za plaću prekovremeni od MZOM-a rad za 6./2025. </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i pruženih usluga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1.017,30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1.854,00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182,2</w:t>
            </w:r>
          </w:p>
        </w:tc>
      </w:tr>
    </w:tbl>
    <w:p>
      <w:pPr>
        <w:spacing w:before="0" w:after="0"/>
      </w:pPr>
    </w:p>
    <w:p>
      <w:pPr>
        <w:jc w:val="both"/>
        <w:pStyle w:val="Normal"/>
        <w:spacing w:line="240" w:lineRule="auto"/>
      </w:pPr>
      <w:r>
        <w:rPr>
          <w:sz w:val="24"/>
          <w:rFonts w:ascii="Times New Roman" w:hAnsi="Times New Roman"/>
        </w:rPr>
        <w:t>Nenaplaćeni prihodi od prodaje proizvoda i roba i pruženih usluga veći su za 82,2 % u odnosu na isto izvještajno razdoblje prethodne godine jer škola do 30.6.2025. godine nije naplatila račune za najam dvoranu za 5. i 6. mjesec. Računi za najam dvorane za 6./2025. fakturirani su i isporučeni početkom srpnja 2025., a datum računa je 30.6.2025. godine. </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Uredska oprema i namještaj</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1.431,92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3.234,69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225,9</w:t>
            </w:r>
          </w:p>
        </w:tc>
      </w:tr>
    </w:tbl>
    <w:p>
      <w:pPr>
        <w:spacing w:before="0" w:after="0"/>
      </w:pPr>
    </w:p>
    <w:p>
      <w:pPr>
        <w:jc w:val="both"/>
        <w:pStyle w:val="Normal"/>
        <w:spacing w:line="240" w:lineRule="auto"/>
      </w:pPr>
      <w:r>
        <w:rPr>
          <w:sz w:val="24"/>
          <w:rFonts w:ascii="Times New Roman" w:hAnsi="Times New Roman"/>
        </w:rPr>
        <w:t>Rashodi su u odnosu na isto izvještajno razdoblje prethodne godine povećani za 2,259 puta zbog veće potrebe za istim. Nabavljena je oprema za hol – konferencijske stolice te osobno računalo s monitorom za knjižnicu škole te dva laptopa za školu za potrebe nastave.</w:t>
      </w:r>
    </w:p>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Komunikacijska oprema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3.626,66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Evidentiran je rashod na komunikacijskoj opremi jer je nabavljen sustav videointerfona (unutarnja i vanjska jedinica), kontroler prolaza te beskontaktni čitači i kartice. Od početka 2025. godine prema uputi Vlade RH sve škole moraju biti zaključane, a zbog navedenog je škola nabavila novu opremu.</w:t>
      </w:r>
    </w:p>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Oprema za održavanje i zaštitu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2.979,04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Nabavljena je nova oprema – nova ulazna PVC vrata, kvake i brave te hidraulični zatvarači za vrata i elektroprihvatnici za vrata - sve u svrhu mogućnosti montaže sustava videointerfona i kontolera prolaza.</w:t>
      </w:r>
    </w:p>
    <w:p/>
    <w:p>
      <w:pPr>
        <w:jc w:val="center"/>
        <w:pStyle w:val="Normal"/>
        <w:spacing w:line="240" w:lineRule="auto"/>
        <w:keepNext/>
      </w:pPr>
      <w:r>
        <w:rPr>
          <w:sz w:val="28"/>
          <w:rFonts w:ascii="Times New Roman" w:hAnsi="Times New Roman"/>
        </w:rPr>
        <w:t>Bilješka 35.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Uređaji, strojevi i oprema za ostale namjene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5.332,50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Nabavljena je nova oprema – planetarna miješalica, kruhoreznica i štapni mikser za školsku kuhinju.</w:t>
      </w:r>
    </w:p>
    <w:p/>
    <w:p>
      <w:pPr>
        <w:jc w:val="center"/>
        <w:pStyle w:val="Normal"/>
        <w:spacing w:line="240" w:lineRule="auto"/>
        <w:keepNext/>
      </w:pPr>
      <w:r>
        <w:rPr>
          <w:sz w:val="28"/>
          <w:rFonts w:ascii="Times New Roman" w:hAnsi="Times New Roman"/>
        </w:rPr>
        <w:t>Bilješka 36.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Knjige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305,32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571,8</w:t>
            </w:r>
          </w:p>
        </w:tc>
      </w:tr>
    </w:tbl>
    <w:p>
      <w:pPr>
        <w:spacing w:before="0" w:after="0"/>
      </w:pPr>
    </w:p>
    <w:p>
      <w:pPr>
        <w:jc w:val="both"/>
        <w:pStyle w:val="Normal"/>
        <w:spacing w:line="240" w:lineRule="auto"/>
      </w:pPr>
      <w:r>
        <w:rPr>
          <w:sz w:val="24"/>
          <w:rFonts w:ascii="Times New Roman" w:hAnsi="Times New Roman"/>
        </w:rPr>
        <w:t>Rashodi za knjige povećani su za 5,72 puta u odnosu na isto izvještajno razdoblje prethodne godine. Nabavljene su knjige za knjižnicu prema postotku ostvarenih prihoda od najma dvorane za 2025. godinu te od naknada zakasnina u školskoj knjižnici.</w:t>
      </w:r>
    </w:p>
    <w:p/>
    <w:p>
      <w:pPr>
        <w:jc w:val="center"/>
        <w:pStyle w:val="Normal"/>
        <w:spacing w:line="240" w:lineRule="auto"/>
        <w:keepNext/>
      </w:pPr>
      <w:r>
        <w:rPr>
          <w:sz w:val="28"/>
          <w:rFonts w:ascii="Times New Roman" w:hAnsi="Times New Roman"/>
        </w:rPr>
        <w:t>Bilješka 37.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Višegodišnji nasadi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1.705,01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Evidentiran je rashod na ovoj poziciji jer je u sklopu Erasmus projekta The WELL iz sredstava dobivenih od institucija EU tijela prema ugovoru uslijedila nabava drveća za uređenje školskog dvorišta.</w:t>
      </w:r>
    </w:p>
    <w:p/>
    <w:p>
      <w:pPr>
        <w:jc w:val="center"/>
        <w:pStyle w:val="Normal"/>
        <w:spacing w:line="240" w:lineRule="auto"/>
        <w:keepNext/>
      </w:pPr>
      <w:r>
        <w:rPr>
          <w:sz w:val="28"/>
          <w:rFonts w:ascii="Times New Roman" w:hAnsi="Times New Roman"/>
        </w:rPr>
        <w:t>Bilješka 38.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na građevinskim objektima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463,67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13.721,25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2959,3</w:t>
            </w:r>
          </w:p>
        </w:tc>
      </w:tr>
    </w:tbl>
    <w:p>
      <w:pPr>
        <w:spacing w:before="0" w:after="0"/>
      </w:pPr>
    </w:p>
    <w:p>
      <w:pPr>
        <w:jc w:val="both"/>
        <w:pStyle w:val="Normal"/>
        <w:spacing w:line="240" w:lineRule="auto"/>
      </w:pPr>
      <w:r>
        <w:rPr>
          <w:sz w:val="24"/>
          <w:rFonts w:ascii="Times New Roman" w:hAnsi="Times New Roman"/>
        </w:rPr>
        <w:t>Rashodi za dodatna ulaganja na građevinskim objektima veći su za 29,59 puta u odnosu na isto izvještajno razdoblje prethodne godine zbog nabave vanjskih žaluzina za školu odnosno za učionice u prvoj polovici 2025. godine.</w:t>
      </w:r>
    </w:p>
    <w:p/>
    <w:p>
      <w:pPr>
        <w:jc w:val="center"/>
        <w:pStyle w:val="Normal"/>
        <w:spacing w:line="240" w:lineRule="auto"/>
        <w:keepNext/>
      </w:pPr>
      <w:r>
        <w:rPr>
          <w:sz w:val="28"/>
          <w:rFonts w:ascii="Times New Roman" w:hAnsi="Times New Roman"/>
        </w:rPr>
        <w:t>Bilješka 39.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81.931,86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tekućem razdoblju ostvaren je manjak prihoda i primitaka u iznosu od 81.931,86 eura. Najveći razlog manjka prihoda i primitaka u odnosu na isto izvještajno razdoblje prethodne godine, kada je ostvaren višak prihoda i primitaka jeste taj što je u prvoj polovici 2025. godine iskazan sedmi rashod za plaće iz MZOM-a odnosno plaća za 6. mjesec 2025. godine, dok su se prethodne godine isti rashodi evidentirali na računu rashodi budućih razdoblja i nedospjela naplata prihoda. Prema novom Pravilniku o proračunskom računovodstvu, od 1.1.2025. godine, rashodi za plaću za 3., 6., 9. i 12. mjesec više se ne evidentiraju na računu rashoda budućih razdoblja već se isto ukida te se navedeno evidentira na rashodima za plaće.</w:t>
      </w:r>
    </w:p>
    <w:p/>
    <w:p>
      <w:pPr>
        <w:jc w:val="center"/>
        <w:pStyle w:val="Normal"/>
        <w:spacing w:line="240" w:lineRule="auto"/>
        <w:keepNext/>
      </w:pPr>
      <w:r>
        <w:rPr>
          <w:sz w:val="28"/>
          <w:rFonts w:ascii="Times New Roman" w:hAnsi="Times New Roman"/>
        </w:rPr>
        <w:t>Bilješka 40.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JLP(R)S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1.576,25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Evidentirani su navedeni prihodi u iznosu od 1.576,25 eura od Varaždinske županije za županijsko natjecanje iz matematike koje je provedeno u IV. osnovnoj školi Varaždin u ožujku 2025. godine, dok u istom izvještajnom razdoblju prethodne godine nije bilo županijskog natjecanja iz matematike.</w:t>
      </w:r>
    </w:p>
    <w:p/>
    <w:p>
      <w:pPr>
        <w:jc w:val="center"/>
        <w:pStyle w:val="Normal"/>
        <w:spacing w:line="240" w:lineRule="auto"/>
        <w:keepNext/>
      </w:pPr>
      <w:r>
        <w:rPr>
          <w:sz w:val="28"/>
          <w:rFonts w:ascii="Times New Roman" w:hAnsi="Times New Roman"/>
        </w:rPr>
        <w:t>Bilješka 41.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Novčana naknada poslodavca zbog nezapošljavanja osoba s invaliditetom</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2.031,89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prvoj polovici 2025. godine evidentiran je rashod za novčanu naknadu poslodavca zbog nezapošljavanja osoba s invaliditetom zbog duga koji je nastao u prethodnom razdoblju, odnosno 2021. godine, te se prema Rješenju koje je škola primila, MZOM usuglasilo da se navedeni dug obračuna sa obračunom plaće za lipanj 2025. godine.</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42.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Povećanje obveza u izvještajnom razdoblju (šifre V003+N23+N24 + 'N dio 25,26'+N27)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1.104.601,10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Nastale obveze u iznosu od 1.104.601,10 eura u izvještajnom razdoblju odnose se na obveze za zaposlene odnosno za plaće zaposlenicima, obveze za materijalne rashode, obveze za financijske rashode, obveze za naknade građanima i kućanstvima, ostale tekuće obveze, obveze za nefinancijsku imovinu te međusobne obveze subjekata općeg proračuna.</w:t>
      </w:r>
    </w:p>
    <w:p/>
    <w:p>
      <w:pPr>
        <w:jc w:val="center"/>
        <w:pStyle w:val="Normal"/>
        <w:spacing w:line="240" w:lineRule="auto"/>
        <w:keepNext/>
      </w:pPr>
      <w:r>
        <w:rPr>
          <w:sz w:val="28"/>
          <w:rFonts w:ascii="Times New Roman" w:hAnsi="Times New Roman"/>
        </w:rPr>
        <w:t>Bilješka 43.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Međusobne obveze subjekata općeg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5.240,48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Povećanje međusobnih obveza subjekata općeg proračuna iznose 5.240,48 eura, a nastale su u prvoj polovici 2025. godine. 
To su obveze za materijalne rashode: Grad Varaždin u iznosu od 706,68 eura, Pučko otvoreno učilište u Varaždinu u iznosu od 180,00 eura, Zavod za javno zdravstvo Varaždinske županije u iznosu od 503,76 eura,  Javna ustanova za upravljanje zaštićenim dijelovima prirode u iznosu od 156,00 eura, Sveučilište u Zagrebu-Hrvatski studiji u iznosu od  20,00 eura, te HZZO za bolovanje u iznosu od 3.674,04 eura.</w:t>
      </w:r>
    </w:p>
    <w:p/>
    <w:p>
      <w:pPr>
        <w:jc w:val="center"/>
        <w:pStyle w:val="Normal"/>
        <w:spacing w:line="240" w:lineRule="auto"/>
        <w:keepNext/>
      </w:pPr>
      <w:r>
        <w:rPr>
          <w:sz w:val="28"/>
          <w:rFonts w:ascii="Times New Roman" w:hAnsi="Times New Roman"/>
        </w:rPr>
        <w:t>Bilješka 44.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Podmirene obveze u izvještajnom razdoblju (šifre V005+P23+P24 + 'P dio 25,26'+P27)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1.124.210,22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Podmirene su obveze u izvještajnom razdoblju u iznosu od 1.124.210,22 eura. Ove obveze odnose se na obveze za zaposlene odnosno plaće, obveze za materijalne i financijske rashode, obveze za naknade građanima i kućanstvima, ostale tekuće obveze, obveze za nabavu nefinancijske imovine te međusobne obveze subjekata općeg proračuna.  Ukupan iznos podmirenih obveza u odnosu na iznos nastalih novih obveza ukazuje na to da je Škola u mogućnosti podmiriti obveze predviđene financijskim planom kao i prenesene obveze iz prethodne proračunske godine.
</w:t>
      </w:r>
    </w:p>
    <w:p/>
    <w:p>
      <w:pPr>
        <w:jc w:val="center"/>
        <w:pStyle w:val="Normal"/>
        <w:spacing w:line="240" w:lineRule="auto"/>
        <w:keepNext/>
      </w:pPr>
      <w:r>
        <w:rPr>
          <w:sz w:val="28"/>
          <w:rFonts w:ascii="Times New Roman" w:hAnsi="Times New Roman"/>
        </w:rPr>
        <w:t>Bilješka 45.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Međusobne obveze subjekata općeg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2.848,10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Ove obveze odnose se na podmirene obveze među subjektima općeg proračuna, a podmirene su sve koje su nastale u prvoj polovici 2025. godine (Pogledati Šifru V003), osim obveze za bolovanje na trete HZZO-a. Obveze za bolovanje na teret HZZO-a, od ukupno stvorenih u iznosu od 3.674,04 eura, podmirene su 1.281,66 eura.</w:t>
      </w:r>
    </w:p>
    <w:p/>
    <w:p>
      <w:pPr>
        <w:jc w:val="center"/>
        <w:pStyle w:val="Normal"/>
        <w:spacing w:line="240" w:lineRule="auto"/>
        <w:keepNext/>
      </w:pPr>
      <w:r>
        <w:rPr>
          <w:sz w:val="28"/>
          <w:rFonts w:ascii="Times New Roman" w:hAnsi="Times New Roman"/>
        </w:rPr>
        <w:t>Bilješka 46.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na kraju izvještajnog razdoblja (šifre V001+V002-V004) i (šifre V007+V009)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164.588,09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Ukupan iznos obveza na kraju izvještajnog razdoblja tekuće godine iznosi 164.588,09 eura. Dospjele obveze iznose 2.358,04 eura, dok nedospjele obveze iznose 162.230,05 eura.
</w:t>
      </w:r>
    </w:p>
    <w:p/>
    <w:p>
      <w:pPr>
        <w:jc w:val="center"/>
        <w:pStyle w:val="Normal"/>
        <w:spacing w:line="240" w:lineRule="auto"/>
        <w:keepNext/>
      </w:pPr>
      <w:r>
        <w:rPr>
          <w:sz w:val="28"/>
          <w:rFonts w:ascii="Times New Roman" w:hAnsi="Times New Roman"/>
        </w:rPr>
        <w:t>Bilješka 47.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2.358,04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Ukupan iznos dospjelih obveza je 2.358,04 eura. One se odnose na obveze za materijalnih rashode - 4 računa za prehranu (2 dobavljača). Prekoračenje dospijeća obveza je 1-60 dana. Do prekoračenja je došlo zbog kasnije dostavljenih e-računa dobavljača sa rokom dospijeća koji je već prošao, te stoga nadležni proračun nije bio u mogućnosti platiti odmah navedene e-račune zbog sustava Riznice preko koje posluje škola odnosno zbog sustava upravljanja financijama grada kroz jedinstveni račun čiji postupak plaćanja traje nekoliko dana od odobrenja računa do plaćanja istog (odobrenje računa, izrada zahtjeva za isplatu, potpisi te konačno plaćanje računa). Sve obveze izvršavaju se pravovremeno i odmah po primitku e-računa, te je vidljivo da drugih dospjelih obveza na kraju izvještajnog razdoblja nema.</w:t>
      </w:r>
    </w:p>
    <w:p/>
    <w:p>
      <w:pPr>
        <w:jc w:val="center"/>
        <w:pStyle w:val="Normal"/>
        <w:spacing w:line="240" w:lineRule="auto"/>
        <w:keepNext/>
      </w:pPr>
      <w:r>
        <w:rPr>
          <w:sz w:val="28"/>
          <w:rFonts w:ascii="Times New Roman" w:hAnsi="Times New Roman"/>
        </w:rPr>
        <w:t>Bilješka 48.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162.230,05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Iznos od 162.230,05 eura nedospjelih obveza odnosi se na:
- međusobne obveze proračunskih korisnika odnosno na obveze za povrat u proračun temeljem bolovanja na teret HZZO-a u iznosu od 2.978,44 eura;
- obveze za rashode poslovanja u ukupnom iznosu od 159.251,61 euro, odnosno: obveze za dobavljače u iznosu od 5.401,09 eura; obveze za zaposlene za plaće i materijalna prava u iznosu od 153.850,52 eura (plaća MZOM 06/2025, plaća za Produženi boravak 06/2025, plaća Pomoćnici u nastavi 06/2025, prekovremeni MZOM 06/2025.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c8b83705caea4b4a" /></Relationships>
</file>